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C3" w:rsidRDefault="00D331C3" w:rsidP="00D331C3">
      <w:pPr>
        <w:pStyle w:val="Header"/>
      </w:pPr>
      <w:r>
        <w:t>Audit and Governance Committee 24 November 2020</w:t>
      </w:r>
    </w:p>
    <w:p w:rsidR="00D331C3" w:rsidRPr="008D26FC" w:rsidRDefault="00D331C3" w:rsidP="00D331C3">
      <w:pPr>
        <w:pStyle w:val="Header"/>
        <w:tabs>
          <w:tab w:val="clear" w:pos="4513"/>
          <w:tab w:val="clear" w:pos="9026"/>
          <w:tab w:val="left" w:pos="7938"/>
        </w:tabs>
      </w:pPr>
      <w:r>
        <w:t>Investigation Service Annual Report</w:t>
      </w:r>
      <w:r>
        <w:tab/>
      </w:r>
      <w:r w:rsidRPr="008D26FC">
        <w:t>Appendix 3 – Counter Fraud Team Headline Risk Matrix</w:t>
      </w:r>
    </w:p>
    <w:p w:rsidR="00D331C3" w:rsidRDefault="00D331C3" w:rsidP="008A22C6"/>
    <w:tbl>
      <w:tblPr>
        <w:tblStyle w:val="TableGrid"/>
        <w:tblW w:w="14454" w:type="dxa"/>
        <w:tblLook w:val="04A0" w:firstRow="1" w:lastRow="0" w:firstColumn="1" w:lastColumn="0" w:noHBand="0" w:noVBand="1"/>
      </w:tblPr>
      <w:tblGrid>
        <w:gridCol w:w="3227"/>
        <w:gridCol w:w="1163"/>
        <w:gridCol w:w="1417"/>
        <w:gridCol w:w="5387"/>
        <w:gridCol w:w="3260"/>
      </w:tblGrid>
      <w:tr w:rsidR="00F96330" w:rsidRPr="00D331C3" w:rsidTr="00F96330">
        <w:tc>
          <w:tcPr>
            <w:tcW w:w="3227" w:type="dxa"/>
          </w:tcPr>
          <w:p w:rsidR="00D331C3" w:rsidRDefault="00D331C3" w:rsidP="00F96330">
            <w:pPr>
              <w:jc w:val="center"/>
              <w:rPr>
                <w:b/>
              </w:rPr>
            </w:pPr>
            <w:r w:rsidRPr="00D331C3">
              <w:rPr>
                <w:b/>
              </w:rPr>
              <w:t>Risk Description</w:t>
            </w:r>
          </w:p>
          <w:p w:rsidR="00F25DD8" w:rsidRPr="00D331C3" w:rsidRDefault="00F25DD8" w:rsidP="00F96330">
            <w:pPr>
              <w:jc w:val="center"/>
              <w:rPr>
                <w:b/>
              </w:rPr>
            </w:pPr>
          </w:p>
        </w:tc>
        <w:tc>
          <w:tcPr>
            <w:tcW w:w="1163" w:type="dxa"/>
          </w:tcPr>
          <w:p w:rsidR="00D331C3" w:rsidRPr="00D331C3" w:rsidRDefault="00D331C3" w:rsidP="00F96330">
            <w:pPr>
              <w:ind w:left="-79"/>
              <w:jc w:val="center"/>
              <w:rPr>
                <w:b/>
              </w:rPr>
            </w:pPr>
            <w:r w:rsidRPr="00D331C3">
              <w:rPr>
                <w:b/>
              </w:rPr>
              <w:t>Impact</w:t>
            </w:r>
          </w:p>
        </w:tc>
        <w:tc>
          <w:tcPr>
            <w:tcW w:w="1417" w:type="dxa"/>
          </w:tcPr>
          <w:p w:rsidR="00D331C3" w:rsidRPr="00D331C3" w:rsidRDefault="00D331C3" w:rsidP="00F96330">
            <w:pPr>
              <w:jc w:val="center"/>
              <w:rPr>
                <w:b/>
              </w:rPr>
            </w:pPr>
            <w:r w:rsidRPr="00D331C3">
              <w:rPr>
                <w:b/>
              </w:rPr>
              <w:t>Likelihood</w:t>
            </w:r>
          </w:p>
        </w:tc>
        <w:tc>
          <w:tcPr>
            <w:tcW w:w="5387" w:type="dxa"/>
          </w:tcPr>
          <w:p w:rsidR="00D331C3" w:rsidRPr="00D331C3" w:rsidRDefault="00D331C3" w:rsidP="00F96330">
            <w:pPr>
              <w:jc w:val="center"/>
              <w:rPr>
                <w:b/>
              </w:rPr>
            </w:pPr>
            <w:r w:rsidRPr="00D331C3">
              <w:rPr>
                <w:b/>
              </w:rPr>
              <w:t>Controls/Mitigation</w:t>
            </w:r>
          </w:p>
        </w:tc>
        <w:tc>
          <w:tcPr>
            <w:tcW w:w="3260" w:type="dxa"/>
          </w:tcPr>
          <w:p w:rsidR="00D331C3" w:rsidRPr="00D331C3" w:rsidRDefault="00D331C3" w:rsidP="00F96330">
            <w:pPr>
              <w:jc w:val="center"/>
              <w:rPr>
                <w:b/>
              </w:rPr>
            </w:pPr>
            <w:r w:rsidRPr="00D331C3">
              <w:rPr>
                <w:b/>
              </w:rPr>
              <w:t>Comments</w:t>
            </w:r>
          </w:p>
        </w:tc>
      </w:tr>
      <w:tr w:rsidR="00F96330" w:rsidTr="00F96330">
        <w:tc>
          <w:tcPr>
            <w:tcW w:w="3227" w:type="dxa"/>
          </w:tcPr>
          <w:p w:rsidR="00D331C3" w:rsidRDefault="00D331C3" w:rsidP="00D331C3">
            <w:r>
              <w:t>OCC Investigation casework subject to legal time bar due to unavailability of criminal interview facilities within St Aldates Chambers.</w:t>
            </w:r>
          </w:p>
        </w:tc>
        <w:tc>
          <w:tcPr>
            <w:tcW w:w="1163" w:type="dxa"/>
          </w:tcPr>
          <w:p w:rsidR="00D331C3" w:rsidRDefault="00D331C3" w:rsidP="00F96330">
            <w:pPr>
              <w:ind w:left="-79"/>
              <w:jc w:val="center"/>
            </w:pPr>
          </w:p>
          <w:p w:rsidR="00D331C3" w:rsidRPr="0063063C" w:rsidRDefault="00D331C3" w:rsidP="00F96330">
            <w:pPr>
              <w:ind w:left="-79"/>
              <w:jc w:val="center"/>
            </w:pPr>
            <w:r>
              <w:t>Moderate</w:t>
            </w:r>
          </w:p>
        </w:tc>
        <w:tc>
          <w:tcPr>
            <w:tcW w:w="1417" w:type="dxa"/>
          </w:tcPr>
          <w:p w:rsidR="00D331C3" w:rsidRDefault="00D331C3" w:rsidP="00D331C3">
            <w:pPr>
              <w:jc w:val="center"/>
            </w:pPr>
          </w:p>
          <w:p w:rsidR="00D331C3" w:rsidRPr="0063063C" w:rsidRDefault="00D331C3" w:rsidP="00D331C3">
            <w:pPr>
              <w:jc w:val="center"/>
            </w:pPr>
            <w:r w:rsidRPr="0063063C">
              <w:t>High</w:t>
            </w:r>
          </w:p>
        </w:tc>
        <w:tc>
          <w:tcPr>
            <w:tcW w:w="5387" w:type="dxa"/>
          </w:tcPr>
          <w:p w:rsidR="00D331C3" w:rsidRDefault="00D331C3" w:rsidP="00D331C3">
            <w:r>
              <w:t xml:space="preserve">Explore use of facilities at other organisations such as </w:t>
            </w:r>
            <w:proofErr w:type="spellStart"/>
            <w:r>
              <w:t>DWP</w:t>
            </w:r>
            <w:proofErr w:type="spellEnd"/>
            <w:r>
              <w:t xml:space="preserve"> &amp; Police.</w:t>
            </w:r>
          </w:p>
          <w:p w:rsidR="00D331C3" w:rsidRDefault="00D331C3" w:rsidP="00D331C3"/>
          <w:p w:rsidR="00D331C3" w:rsidRDefault="00D331C3" w:rsidP="00D331C3">
            <w:r>
              <w:t>Adaptations to SAC interview room required to make it Covid safe. Perspex screen, ventilations, hand sanitiser stations, PPE, enhanced cleaning</w:t>
            </w:r>
          </w:p>
          <w:p w:rsidR="00D331C3" w:rsidRDefault="00D331C3" w:rsidP="00D331C3"/>
        </w:tc>
        <w:tc>
          <w:tcPr>
            <w:tcW w:w="3260" w:type="dxa"/>
          </w:tcPr>
          <w:p w:rsidR="00D331C3" w:rsidRDefault="00D331C3" w:rsidP="00D331C3">
            <w:r>
              <w:t>Other organisations have limited availability or non-compliant facilities</w:t>
            </w:r>
          </w:p>
          <w:p w:rsidR="00D331C3" w:rsidRDefault="00D331C3" w:rsidP="00D331C3"/>
          <w:p w:rsidR="00D331C3" w:rsidRDefault="00D331C3" w:rsidP="00D331C3">
            <w:r>
              <w:t xml:space="preserve">Requested of Facilities in July 2020 &amp; advised that ODG regularly reviewing SAC operating model </w:t>
            </w:r>
          </w:p>
        </w:tc>
      </w:tr>
      <w:tr w:rsidR="00F96330" w:rsidTr="00F96330">
        <w:tc>
          <w:tcPr>
            <w:tcW w:w="3227" w:type="dxa"/>
          </w:tcPr>
          <w:p w:rsidR="00D331C3" w:rsidRDefault="00D331C3" w:rsidP="00D331C3">
            <w:r>
              <w:t xml:space="preserve">Decline in trading income due to reduced business development activity during Covid restricted operations </w:t>
            </w:r>
          </w:p>
          <w:p w:rsidR="00D331C3" w:rsidRDefault="00D331C3" w:rsidP="00D331C3">
            <w:r w:rsidRPr="004A0348">
              <w:t>(new business</w:t>
            </w:r>
            <w:r>
              <w:t>)</w:t>
            </w:r>
          </w:p>
        </w:tc>
        <w:tc>
          <w:tcPr>
            <w:tcW w:w="1163" w:type="dxa"/>
          </w:tcPr>
          <w:p w:rsidR="00D331C3" w:rsidRDefault="00D331C3" w:rsidP="00F96330">
            <w:pPr>
              <w:ind w:left="-79"/>
              <w:jc w:val="center"/>
            </w:pPr>
          </w:p>
          <w:p w:rsidR="00D331C3" w:rsidRPr="004A0348" w:rsidRDefault="00D331C3" w:rsidP="00F96330">
            <w:pPr>
              <w:ind w:left="-79"/>
              <w:jc w:val="center"/>
            </w:pPr>
            <w:r>
              <w:t>Moderate</w:t>
            </w:r>
          </w:p>
        </w:tc>
        <w:tc>
          <w:tcPr>
            <w:tcW w:w="1417" w:type="dxa"/>
          </w:tcPr>
          <w:p w:rsidR="00D331C3" w:rsidRDefault="00D331C3" w:rsidP="00D331C3">
            <w:pPr>
              <w:jc w:val="center"/>
            </w:pPr>
          </w:p>
          <w:p w:rsidR="00D331C3" w:rsidRPr="004A0348" w:rsidRDefault="00D331C3" w:rsidP="00D331C3">
            <w:pPr>
              <w:jc w:val="center"/>
            </w:pPr>
            <w:r w:rsidRPr="004A0348">
              <w:t>High</w:t>
            </w:r>
          </w:p>
        </w:tc>
        <w:tc>
          <w:tcPr>
            <w:tcW w:w="5387" w:type="dxa"/>
          </w:tcPr>
          <w:p w:rsidR="00D331C3" w:rsidRDefault="00D331C3" w:rsidP="00D331C3">
            <w:r>
              <w:t>Devising &amp; hosting the 5</w:t>
            </w:r>
            <w:r w:rsidRPr="00F56E3C">
              <w:rPr>
                <w:vertAlign w:val="superscript"/>
              </w:rPr>
              <w:t>th</w:t>
            </w:r>
            <w:r>
              <w:t xml:space="preserve"> Annual Fraud Conference to be held entirely online in November 2020.</w:t>
            </w:r>
          </w:p>
        </w:tc>
        <w:tc>
          <w:tcPr>
            <w:tcW w:w="3260" w:type="dxa"/>
          </w:tcPr>
          <w:p w:rsidR="00D331C3" w:rsidRDefault="00D331C3" w:rsidP="00D331C3">
            <w:r>
              <w:t xml:space="preserve">Over 200 delegates expected with sponsorships from supplier organisations covering more than 100% of costs. </w:t>
            </w:r>
          </w:p>
        </w:tc>
      </w:tr>
      <w:tr w:rsidR="00F96330" w:rsidTr="00F96330">
        <w:tc>
          <w:tcPr>
            <w:tcW w:w="3227" w:type="dxa"/>
          </w:tcPr>
          <w:p w:rsidR="00F25DD8" w:rsidRDefault="00F25DD8" w:rsidP="00D331C3"/>
          <w:p w:rsidR="00D331C3" w:rsidRDefault="00D331C3" w:rsidP="00D331C3">
            <w:r>
              <w:t>Decline in trading income due to partner organisations not renewing contracts</w:t>
            </w:r>
          </w:p>
          <w:p w:rsidR="00D331C3" w:rsidRDefault="00D331C3" w:rsidP="00D331C3">
            <w:r>
              <w:t>(existing business)</w:t>
            </w:r>
          </w:p>
        </w:tc>
        <w:tc>
          <w:tcPr>
            <w:tcW w:w="1163" w:type="dxa"/>
          </w:tcPr>
          <w:p w:rsidR="00D331C3" w:rsidRDefault="00D331C3" w:rsidP="00F96330">
            <w:pPr>
              <w:ind w:left="-79"/>
              <w:jc w:val="center"/>
            </w:pPr>
          </w:p>
          <w:p w:rsidR="00D331C3" w:rsidRPr="004A0348" w:rsidRDefault="00D331C3" w:rsidP="00F96330">
            <w:pPr>
              <w:ind w:left="-79"/>
              <w:jc w:val="center"/>
            </w:pPr>
            <w:r>
              <w:t>Moderate</w:t>
            </w:r>
          </w:p>
        </w:tc>
        <w:tc>
          <w:tcPr>
            <w:tcW w:w="1417" w:type="dxa"/>
          </w:tcPr>
          <w:p w:rsidR="00D331C3" w:rsidRDefault="00D331C3" w:rsidP="00D331C3">
            <w:pPr>
              <w:jc w:val="center"/>
            </w:pPr>
          </w:p>
          <w:p w:rsidR="00D331C3" w:rsidRPr="004A0348" w:rsidRDefault="00D331C3" w:rsidP="00D331C3">
            <w:pPr>
              <w:jc w:val="center"/>
            </w:pPr>
            <w:r>
              <w:t>Medium</w:t>
            </w:r>
          </w:p>
        </w:tc>
        <w:tc>
          <w:tcPr>
            <w:tcW w:w="5387" w:type="dxa"/>
          </w:tcPr>
          <w:p w:rsidR="00D331C3" w:rsidRDefault="00D331C3" w:rsidP="00D331C3">
            <w:r>
              <w:t>Regular liaison &amp; performance monitoring in place with contracted partner organisations. Requests for early indication of intentions prior to contract end date. Refreshing work plans to reprioritise efforts to revenue generating activity in light of Covid related financial pressures.</w:t>
            </w:r>
          </w:p>
          <w:p w:rsidR="00D331C3" w:rsidRDefault="00D331C3" w:rsidP="00D331C3"/>
        </w:tc>
        <w:tc>
          <w:tcPr>
            <w:tcW w:w="3260" w:type="dxa"/>
          </w:tcPr>
          <w:p w:rsidR="00D331C3" w:rsidRDefault="00D331C3" w:rsidP="00D331C3">
            <w:r>
              <w:t>With new &amp; emerging Covid related fraud risks, there is pressure on LA’s to ensure systems &amp; services are robustly protected. This may influence renewal of contract with LA partners.</w:t>
            </w:r>
          </w:p>
        </w:tc>
      </w:tr>
      <w:tr w:rsidR="00F96330" w:rsidTr="00F96330">
        <w:tc>
          <w:tcPr>
            <w:tcW w:w="3227" w:type="dxa"/>
          </w:tcPr>
          <w:p w:rsidR="00D331C3" w:rsidRDefault="00D331C3" w:rsidP="00D331C3">
            <w:r>
              <w:t>Staff retention</w:t>
            </w:r>
          </w:p>
        </w:tc>
        <w:tc>
          <w:tcPr>
            <w:tcW w:w="1163" w:type="dxa"/>
          </w:tcPr>
          <w:p w:rsidR="00D331C3" w:rsidRDefault="00D331C3" w:rsidP="00F96330">
            <w:pPr>
              <w:ind w:left="-79"/>
              <w:jc w:val="center"/>
            </w:pPr>
          </w:p>
          <w:p w:rsidR="00D331C3" w:rsidRPr="004A0348" w:rsidRDefault="00D331C3" w:rsidP="00F96330">
            <w:pPr>
              <w:ind w:left="-79"/>
              <w:jc w:val="center"/>
            </w:pPr>
            <w:r>
              <w:t>Major</w:t>
            </w:r>
          </w:p>
        </w:tc>
        <w:tc>
          <w:tcPr>
            <w:tcW w:w="1417" w:type="dxa"/>
          </w:tcPr>
          <w:p w:rsidR="00D331C3" w:rsidRDefault="00D331C3" w:rsidP="00D331C3">
            <w:pPr>
              <w:jc w:val="center"/>
            </w:pPr>
          </w:p>
          <w:p w:rsidR="00D331C3" w:rsidRPr="004A0348" w:rsidRDefault="00D331C3" w:rsidP="00D331C3">
            <w:pPr>
              <w:jc w:val="center"/>
            </w:pPr>
            <w:r>
              <w:t>Medium</w:t>
            </w:r>
          </w:p>
        </w:tc>
        <w:tc>
          <w:tcPr>
            <w:tcW w:w="5387" w:type="dxa"/>
          </w:tcPr>
          <w:p w:rsidR="00D331C3" w:rsidRDefault="00D331C3" w:rsidP="00D331C3">
            <w:r>
              <w:t>Recent regrade of Investigation Officer role brings salary rate up to date &amp; competitive with neighbouring authorities</w:t>
            </w:r>
          </w:p>
          <w:p w:rsidR="00D331C3" w:rsidRDefault="00D331C3" w:rsidP="00D331C3"/>
          <w:p w:rsidR="00D331C3" w:rsidRDefault="00D331C3" w:rsidP="00D331C3">
            <w:r>
              <w:t>Heightened awareness of staff morale &amp; wellbeing during compulsory working from home period</w:t>
            </w:r>
          </w:p>
          <w:p w:rsidR="00D331C3" w:rsidRDefault="00D331C3" w:rsidP="00D331C3"/>
          <w:p w:rsidR="00D331C3" w:rsidRDefault="00D331C3" w:rsidP="00D331C3">
            <w:r>
              <w:t xml:space="preserve">Avoiding cuts to service through evidence of ongoing value for money service provision to OCC </w:t>
            </w:r>
          </w:p>
        </w:tc>
        <w:tc>
          <w:tcPr>
            <w:tcW w:w="3260" w:type="dxa"/>
          </w:tcPr>
          <w:p w:rsidR="00D331C3" w:rsidRDefault="00D331C3" w:rsidP="00D331C3">
            <w:r>
              <w:t>Increased frequency of staff one to one meetings. Regular online team social events.</w:t>
            </w:r>
          </w:p>
          <w:p w:rsidR="00D331C3" w:rsidRDefault="00D331C3" w:rsidP="00D331C3"/>
          <w:p w:rsidR="00D331C3" w:rsidRDefault="00D331C3" w:rsidP="00D331C3">
            <w:r>
              <w:t>£4.7m additional revenue &amp; prevented fraud losses in 2019-2020</w:t>
            </w:r>
          </w:p>
        </w:tc>
      </w:tr>
    </w:tbl>
    <w:p w:rsidR="00D331C3" w:rsidRPr="008A22C6" w:rsidRDefault="00D331C3" w:rsidP="008A22C6">
      <w:bookmarkStart w:id="0" w:name="_GoBack"/>
      <w:bookmarkEnd w:id="0"/>
    </w:p>
    <w:sectPr w:rsidR="00D331C3" w:rsidRPr="008A22C6" w:rsidSect="00F96330">
      <w:pgSz w:w="16838" w:h="11906" w:orient="landscape" w:code="9"/>
      <w:pgMar w:top="907" w:right="1304" w:bottom="907" w:left="130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6FC" w:rsidRDefault="008D26FC" w:rsidP="008D26FC">
      <w:r>
        <w:separator/>
      </w:r>
    </w:p>
  </w:endnote>
  <w:endnote w:type="continuationSeparator" w:id="0">
    <w:p w:rsidR="008D26FC" w:rsidRDefault="008D26FC" w:rsidP="008D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6FC" w:rsidRDefault="008D26FC" w:rsidP="008D26FC">
      <w:r>
        <w:separator/>
      </w:r>
    </w:p>
  </w:footnote>
  <w:footnote w:type="continuationSeparator" w:id="0">
    <w:p w:rsidR="008D26FC" w:rsidRDefault="008D26FC" w:rsidP="008D2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47060"/>
    <w:multiLevelType w:val="hybridMultilevel"/>
    <w:tmpl w:val="B4C67C9C"/>
    <w:lvl w:ilvl="0" w:tplc="1A441C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93"/>
    <w:rsid w:val="000B4310"/>
    <w:rsid w:val="004000D7"/>
    <w:rsid w:val="004A0348"/>
    <w:rsid w:val="00504E43"/>
    <w:rsid w:val="005C7025"/>
    <w:rsid w:val="0063063C"/>
    <w:rsid w:val="006C01A0"/>
    <w:rsid w:val="007908F4"/>
    <w:rsid w:val="008A22C6"/>
    <w:rsid w:val="008D26FC"/>
    <w:rsid w:val="009E02F8"/>
    <w:rsid w:val="00C07F80"/>
    <w:rsid w:val="00C92693"/>
    <w:rsid w:val="00D331C3"/>
    <w:rsid w:val="00F25DD8"/>
    <w:rsid w:val="00F56E3C"/>
    <w:rsid w:val="00F9633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409A5-0A93-458D-9E14-20029157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348"/>
    <w:pPr>
      <w:ind w:left="720"/>
      <w:contextualSpacing/>
    </w:pPr>
  </w:style>
  <w:style w:type="paragraph" w:styleId="Header">
    <w:name w:val="header"/>
    <w:basedOn w:val="Normal"/>
    <w:link w:val="HeaderChar"/>
    <w:uiPriority w:val="99"/>
    <w:unhideWhenUsed/>
    <w:rsid w:val="008D26FC"/>
    <w:pPr>
      <w:tabs>
        <w:tab w:val="center" w:pos="4513"/>
        <w:tab w:val="right" w:pos="9026"/>
      </w:tabs>
    </w:pPr>
  </w:style>
  <w:style w:type="character" w:customStyle="1" w:styleId="HeaderChar">
    <w:name w:val="Header Char"/>
    <w:basedOn w:val="DefaultParagraphFont"/>
    <w:link w:val="Header"/>
    <w:uiPriority w:val="99"/>
    <w:rsid w:val="008D26FC"/>
  </w:style>
  <w:style w:type="paragraph" w:styleId="Footer">
    <w:name w:val="footer"/>
    <w:basedOn w:val="Normal"/>
    <w:link w:val="FooterChar"/>
    <w:uiPriority w:val="99"/>
    <w:unhideWhenUsed/>
    <w:rsid w:val="008D26FC"/>
    <w:pPr>
      <w:tabs>
        <w:tab w:val="center" w:pos="4513"/>
        <w:tab w:val="right" w:pos="9026"/>
      </w:tabs>
    </w:pPr>
  </w:style>
  <w:style w:type="character" w:customStyle="1" w:styleId="FooterChar">
    <w:name w:val="Footer Char"/>
    <w:basedOn w:val="DefaultParagraphFont"/>
    <w:link w:val="Footer"/>
    <w:uiPriority w:val="99"/>
    <w:rsid w:val="008D26FC"/>
  </w:style>
  <w:style w:type="paragraph" w:styleId="BalloonText">
    <w:name w:val="Balloon Text"/>
    <w:basedOn w:val="Normal"/>
    <w:link w:val="BalloonTextChar"/>
    <w:uiPriority w:val="99"/>
    <w:semiHidden/>
    <w:unhideWhenUsed/>
    <w:rsid w:val="008D26FC"/>
    <w:rPr>
      <w:rFonts w:ascii="Tahoma" w:hAnsi="Tahoma" w:cs="Tahoma"/>
      <w:sz w:val="16"/>
      <w:szCs w:val="16"/>
    </w:rPr>
  </w:style>
  <w:style w:type="character" w:customStyle="1" w:styleId="BalloonTextChar">
    <w:name w:val="Balloon Text Char"/>
    <w:basedOn w:val="DefaultParagraphFont"/>
    <w:link w:val="BalloonText"/>
    <w:uiPriority w:val="99"/>
    <w:semiHidden/>
    <w:rsid w:val="008D2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0255-1194-4E77-A92C-D6F1961F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BCFD935D.dotm</Template>
  <TotalTime>142</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swarner</dc:creator>
  <cp:lastModifiedBy>THOMPSON Jennifer</cp:lastModifiedBy>
  <cp:revision>6</cp:revision>
  <dcterms:created xsi:type="dcterms:W3CDTF">2020-09-30T16:31:00Z</dcterms:created>
  <dcterms:modified xsi:type="dcterms:W3CDTF">2020-11-13T14:48:00Z</dcterms:modified>
</cp:coreProperties>
</file>